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76573276519775" w:lineRule="auto"/>
        <w:ind w:left="1.67999267578125" w:right="162.18505859375" w:hanging="9.600067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180 page PDF “Technical Response” sent by the senior author is a perfect example of a  document dump, as described by Wikipedia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hDps://en.wikipedia.org/wiki/Document_dump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document dump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is the act of responding to an adversary's request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5cb2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presenting the adversary with a large quantity of data that is transferred in a manner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indicates unfriendliness,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5cb2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hostility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, or a legal conflict between the transmitter and the receiver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the information. The shipment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dumped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documents is unsorted, or contains a large quantity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of information that is extraneous to the issue under inquiry, or is presented in an untimely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manner, or some combination of these three characteristics. The phrase is often 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5cb2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lawyers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, but is in increasing use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5cb2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blogosphere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. It is often seen as part of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characteristic behavior of an entity that is engaging in an ongoing pattern of activities intended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5cb2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cover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unethical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5cb2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conduct.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10986328125" w:line="228.60177040100098" w:lineRule="auto"/>
        <w:ind w:left="0" w:right="183.192138671875" w:firstLine="4.8576354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The original map associated with the Nanoscale paper is EMD-22982, which has a scale of 0.93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Å/px but described in the paper as 1.05 Å/px. After concerns were voiced about the original map,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“improved” map was deposited, EMD-24147, based upon the same micrographs. The scale in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new map is mysteriously 0.83 Å/px. The authors have responded to previous concerns about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lack of half-maps by sending such maps (Map1_50.mrc, Map2_50.mrc, half-map1.mrc, half map2.mrc). These appear to have been resampled at either 1.85 or 2.0 Å/px. EMD-40656 and EMD 40657 have 1.4 Å/px. The authors appear to be so confused by these different values that they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in the Technical Response: “A newer version of the N protein map (EMD-29002) was deposited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2022, also with a pixel value of ~0.93 Å / pixel.” In fact, this deposited map has a scale of 0.8 Å/px.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So from the same original micrographs the authors have pixel values of 0.8, 0.83, 0.93, 1.05, 1.4,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1.85 and 2.0 Å.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EMD-29002 is linked to their 2023 M&amp;M paper (Casasanta et al., 2023), and that  paper states that the pixel size is 1.05 Å. So in 2022, when they deposited EMD-29002, they knew  that the correct pixel size was either 0.8 or 0.93, but in 2023 they wrote that it was 1.05 Å?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None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this can be justified, and the arguments that the author makes about the thickness of the grid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changing the pixel size are absurd. They are asking us to believe that the 30% change in scale (from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the published 1.05 Å/px to the latest 0.8 Å/px) might be due to a shift of the Z-position of the sample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due to the increased thickness of the grids.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601806640625" w:line="228.69635581970215" w:lineRule="auto"/>
        <w:ind w:left="6.9696044921875" w:right="226.0693359375" w:firstLine="717.8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The absurdities are apparent in Figure 1 of the Technical Response, where they display 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EMD-29002 and EMD-24147 with 0.93 Å/px, when the actual deposited maps have values of 0.8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and 0.83 Å/px, respectively. So if one looks at the progression of these maps, from the original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deposition EMD-22982 linked to the Nanoscale paper (0.93 Å/px), to EMD-24147, an “improved”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map linked again to the same Nanoscale paper (0.83 Å/px), to the latest map EMD-29002 (0.8 Å/px)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linked to the 2023 M&amp;M paper (Casasanta et al., 2023), the reconstruction is shrinking in volume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over time to provide a better fit to their model.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43842601776123" w:lineRule="auto"/>
        <w:ind w:left="0.633544921875" w:right="168.43505859375" w:firstLine="724.22424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The author insists that the EMs used were recorded with a total dose of 5 electrons/Å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, as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was stated in the Nanoscale paper that the dose was &lt; 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, and provides Fig. 2 in the Technical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Response as an example of such an image. But in the Methods of the Nanoscale paper it is actually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stated that 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Images were recorded under low-dose conditions (&lt;5 electrons per 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per s) at 200 kV.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Sixty movies were acquired at 0.25 second exposures”. This would mean a total dose of ~ 1.25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since exposures were for only a quarter of a second. This is even more absurd than the claim of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Dr. Kelly seems unaware of basic math and physics, as such an image with 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(ignoring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more absurd 1.25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) would be dominated by the electron shot noise due to the Poisson statistics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and would have almost no contrast for small objects.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3035764694214" w:lineRule="auto"/>
        <w:ind w:left="6.9696044921875" w:right="246.7333984375" w:firstLine="12.671966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 show an image recorded on a 200 kV microscope with 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(left), compared with a “normal” dose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of 50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(right):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167236328125" w:line="204.578118324279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  <w:drawing>
          <wp:inline distB="19050" distT="19050" distL="19050" distR="19050">
            <wp:extent cx="2971800" cy="2971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  <w:drawing>
          <wp:inline distB="19050" distT="19050" distL="19050" distR="19050">
            <wp:extent cx="2971800" cy="29718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  <w:drawing>
          <wp:inline distB="19050" distT="19050" distL="19050" distR="19050">
            <wp:extent cx="2925828" cy="293497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5828" cy="2934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  <w:drawing>
          <wp:inline distB="19050" distT="19050" distL="19050" distR="19050">
            <wp:extent cx="2971547" cy="298069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547" cy="2980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80828857421875" w:line="226.36685371398926" w:lineRule="auto"/>
        <w:ind w:left="0.633544921875" w:right="170.789794921875" w:firstLine="4.2240905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The power spectrum for each of these images is shown below the image. The black bar (50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image on the right) is 200 Å long, and the fairly massive filament (practically invisible on the left) 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 mass per unit length of ~ 2.4kDa/Å. So the mass in the length of the black bar would correspond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10 N protein monomers. Thus, the statement that these images in the Nanoscale paper were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recorded with 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cannot possibly be true. Not only would one be unable to see the particles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such a dose, but one would be unable to observe the oscillations of the CTF in the power spectra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needed to accurately determine the defocus. Dr. Kelly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states in the Response that the total dose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was actually 5-60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for all images collected, not either &lt; 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or 1.25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as they published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Nanoscale, and “The best images used in our structural analysis contained the least amount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radiation damage and were obtained at the lower end of the dose range.” If we look 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subsequent “updated” depositions by the authors described in the Technical Response, EMD-40632,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68844890594482" w:lineRule="auto"/>
        <w:ind w:left="0.633544921875" w:right="234.730224609375" w:firstLine="16.051330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EMD-40633, and EMD-40647 state that the total dose was 60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, while EMD-40653 and EMD 40656 state 50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. This raises an obvious question. If 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was able to achieve the beautiful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contrast shown in Fig. 2 of the Technical Response, and the best images contained the lowest dose,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why did the authors use 10-12 times this total dose in the “updated” and improved maps? So rather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than simply say that the 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and 1.25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were a mistake and they meant 50-60 e/Å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, Dr. Kelly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has chosen to defend the impossible.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09912109375" w:line="228.69645595550537" w:lineRule="auto"/>
        <w:ind w:left="0.633544921875" w:right="160.230712890625" w:firstLine="15.6288146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Dr. Kelly never really addresses the egregious artifact in most FSC plots shown by them, which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that these curves almost never fall to 0.0. She states that this was due to the binning procedure, but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this is nonsense. For two independent maps, there should be no correlation at the highest spatial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frequencies. In other words, beyond the true resolution of the maps, almost all modulation is noise,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which should be uncorrelated between two independent maps. Yet if one looks at the FSC plots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this “document dump”, the FSC never falls below 0.2 in 40632, 40633, and 40647. In 40656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40657 (based upon resampling to 1.4 Å/px) the author-supplied FSC curves show such a steep drop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that serious questions are raised as to what was actually done, as Fourier theory dictates that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rate of change in a Fourier Transform cannot be greater than 1/D, where D is the dimension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compact support. The steep drop in the FSC plots should be compared to the ideal behavior of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curves published in Fig. 2C of the Nanoscale paper, purportedly showing both map:map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map:model FSCs. Unfortunately, the authors have never provided the data used to generate that plot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despite multiple requests.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4765625" w:line="229.45358276367188" w:lineRule="auto"/>
        <w:ind w:left="3.37921142578125" w:right="382.86376953125" w:firstLine="13.30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Related to the problems of the FSC plots, Dr. Kelly states that in Phenix “the auto-box process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yielded a rectangular box around the center of the map, rendering it no longer cuboidal”. This 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not appear to be the case. Rather,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hen supplied with a model (as the authors provided), the  mtriage utility in Phenix that was most likely used for these FSC calculations has an option,  box_map_before_analysis, which defaults to False. From the Phenix documentation: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06689453125" w:line="229.4538974761963" w:lineRule="auto"/>
        <w:ind w:left="450.633544921875" w:right="270.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You can box the map (cut out box a little bigger than supplied model) before any analysis if you  want. This will make the analysis faster,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but it can introduce masking artifacts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[my  emphasis].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005859375" w:line="228.5449504852295" w:lineRule="auto"/>
        <w:ind w:left="0" w:right="162.420654296875" w:firstLine="19.641571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It appears that this must have been set to True, generating these huge artifacts.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 reasonable scientist would see these artifacts in the FSC plots and be concerned. Such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reasonable person would actually look at the map and see that the calculated resolution (and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published resolution in the Nanoscale paper) could not possibly be true, based upon prior knowledge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of what proteins look like at different resolutions. But Dr. Kelly has argued instead that everything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supports the original statements of resolution in the Nanoscale paper. It is suggested in the Technical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Response that I may have inadvertently compressed the map as my estimate of resolution using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map:model FSC differed by a factor of 2 from their values. I did not compress the map, and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estimate of 8.6 Å was actually very consistent with the visual appearance of the map. Their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estimates of &lt; 5 Å are entirely inconsistent with such a visual inspection, as would be immediately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obvious to anyone with experience looking at cryo-EM volumes.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4100341796875" w:line="228.9993667602539" w:lineRule="auto"/>
        <w:ind w:left="0.633544921875" w:right="233.287353515625" w:firstLine="14.7840881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Lastly, the authors declared no conflicts of interest for their Nanoscale paper. However,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penultimate author of the paper, Dukes, lists her affiliation as Applications Science, Protochips, Inc,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Morrisville, NC 27560, USA.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The paper is clearly promoting the use of particular commercial  microchips, produced by Protochips: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“To prepare cryo-EM specimens, we employed microwell integrated microchips (Protochips, Inc., EPB-42A1-10) with imaging windows having dimensions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10 μm × 10 μm in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- 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-dimension 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20 nm thick.” In fact, the central role of these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microchips even appears in the Title (“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Microchip-based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structure determination of low-molecular  weight proteins using cryo-electron microscopy”) and the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bstract: “Here we contribute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microchip based toolkit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to perform complementary structural and biochemical analysis on low-molecular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weight proteins…To complement our structural findings, we engineered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microchip-based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immunoprecipitation assays that led to the discovery of the first antibody binding site on the 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18185901641846" w:lineRule="auto"/>
        <w:ind w:left="7.6031494140625" w:right="363.5498046875" w:firstLine="6.3360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protein [my emphasis].” The failure to declare this blatant conflict of interest appears to be a further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and serious basis for retraction.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209228515625" w:line="243.9023208618164" w:lineRule="auto"/>
        <w:ind w:left="11.280059814453125" w:right="390.445556640625" w:hanging="1.19995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Casasanta, M.A., Jonaid, G.M., Kaylor, L., Luqiu, W.Y., DiCecco, L.A., Solares, M.J., Berry, S.,  Dearnaley, W.J., and Kelly, D.F. (2023). Structural Insights of the SARS-CoV-2 Nucleocapsid  Protein: Implica\ons for the Inner-workings of Rapid An\gen Tests. Microsc Microanal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649- 657.</w:t>
      </w:r>
    </w:p>
    <w:sectPr>
      <w:pgSz w:h="15840" w:w="12240" w:orient="portrait"/>
      <w:pgMar w:bottom="1603.20068359375" w:top="1415.99853515625" w:left="1440" w:right="1218.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