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36" w:rsidRDefault="004F0136">
      <w:pPr>
        <w:rPr>
          <w:rFonts w:ascii="inherit" w:hAnsi="inherit" w:cs="Arial"/>
          <w:color w:val="666666"/>
          <w:szCs w:val="20"/>
          <w:lang w:val="en"/>
        </w:rPr>
      </w:pPr>
      <w:r>
        <w:rPr>
          <w:rFonts w:cs="Arial"/>
          <w:color w:val="333333"/>
          <w:lang w:val="en"/>
        </w:rPr>
        <w:t xml:space="preserve">CORRECTION to  </w:t>
      </w:r>
    </w:p>
    <w:p w:rsidR="004F0136" w:rsidRDefault="007477EF">
      <w:pPr>
        <w:rPr>
          <w:rFonts w:cs="Arial"/>
          <w:color w:val="333333"/>
          <w:lang w:val="en"/>
        </w:rPr>
      </w:pPr>
      <w:hyperlink r:id="rId4" w:tooltip="Back to original article" w:history="1">
        <w:r w:rsidR="004F0136">
          <w:rPr>
            <w:rStyle w:val="Strong"/>
            <w:rFonts w:cs="Arial"/>
            <w:color w:val="3C63AF"/>
          </w:rPr>
          <w:t>Standardised Mindfulness-Based Interventions in Healthcare: An Overview of Systematic Reviews and Meta-Analyses of RCTs</w:t>
        </w:r>
        <w:r w:rsidR="004F0136">
          <w:rPr>
            <w:rStyle w:val="Hyperlink"/>
            <w:rFonts w:cs="Arial"/>
          </w:rPr>
          <w:t xml:space="preserve"> </w:t>
        </w:r>
      </w:hyperlink>
      <w:r w:rsidR="004F0136">
        <w:rPr>
          <w:rFonts w:cs="Arial"/>
          <w:color w:val="333333"/>
        </w:rPr>
        <w:br/>
        <w:t xml:space="preserve">Gotink RA, Chu P, Busschbach JJV, Benson H, Fricchione GL, et al. (2015) </w:t>
      </w:r>
      <w:proofErr w:type="spellStart"/>
      <w:r w:rsidR="004F0136">
        <w:rPr>
          <w:rFonts w:cs="Arial"/>
          <w:color w:val="333333"/>
        </w:rPr>
        <w:t>Standardised</w:t>
      </w:r>
      <w:proofErr w:type="spellEnd"/>
      <w:r w:rsidR="004F0136">
        <w:rPr>
          <w:rFonts w:cs="Arial"/>
          <w:color w:val="333333"/>
        </w:rPr>
        <w:t xml:space="preserve"> Mindfulness-Based Interventions in Healthcare: An Overview of Systematic Reviews and Meta-Analyses of RCTs. PLOS ONE 10(4): e0124344. </w:t>
      </w:r>
      <w:hyperlink r:id="rId5" w:history="1">
        <w:r w:rsidR="004F0136">
          <w:rPr>
            <w:rStyle w:val="Hyperlink"/>
            <w:rFonts w:cs="Arial"/>
          </w:rPr>
          <w:t>https://doi.org/10.1371/journal.pone.0124344</w:t>
        </w:r>
      </w:hyperlink>
      <w:r w:rsidR="004F0136">
        <w:rPr>
          <w:rFonts w:cs="Arial"/>
          <w:color w:val="333333"/>
        </w:rPr>
        <w:t xml:space="preserve"> </w:t>
      </w:r>
    </w:p>
    <w:p w:rsidR="00B22EE2" w:rsidRDefault="00EF3B31" w:rsidP="00EF3B31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>In our</w:t>
      </w:r>
      <w:r w:rsidR="0042173F">
        <w:rPr>
          <w:rFonts w:cs="Arial"/>
          <w:color w:val="333333"/>
          <w:lang w:val="en"/>
        </w:rPr>
        <w:t xml:space="preserve"> published review paper we presented a systematic overview of 23 systematic reviews and pooled results from the 8</w:t>
      </w:r>
      <w:r w:rsidR="003B2B71">
        <w:rPr>
          <w:rFonts w:cs="Arial"/>
          <w:color w:val="333333"/>
          <w:lang w:val="en"/>
        </w:rPr>
        <w:t xml:space="preserve"> (of the 23)</w:t>
      </w:r>
      <w:r>
        <w:rPr>
          <w:rFonts w:cs="Arial"/>
          <w:color w:val="333333"/>
          <w:lang w:val="en"/>
        </w:rPr>
        <w:t xml:space="preserve"> reviews that </w:t>
      </w:r>
      <w:r w:rsidR="0042173F">
        <w:rPr>
          <w:rFonts w:cs="Arial"/>
          <w:color w:val="333333"/>
          <w:lang w:val="en"/>
        </w:rPr>
        <w:t xml:space="preserve">reported </w:t>
      </w:r>
      <w:r>
        <w:rPr>
          <w:rFonts w:cs="Arial"/>
          <w:color w:val="333333"/>
          <w:lang w:val="en"/>
        </w:rPr>
        <w:t>meta-analyzed</w:t>
      </w:r>
      <w:r w:rsidR="0042173F">
        <w:rPr>
          <w:rFonts w:cs="Arial"/>
          <w:color w:val="333333"/>
          <w:lang w:val="en"/>
        </w:rPr>
        <w:t xml:space="preserve"> </w:t>
      </w:r>
      <w:proofErr w:type="spellStart"/>
      <w:r w:rsidR="0042173F">
        <w:rPr>
          <w:rFonts w:cs="Arial"/>
          <w:color w:val="333333"/>
          <w:lang w:val="en"/>
        </w:rPr>
        <w:t>standardised</w:t>
      </w:r>
      <w:proofErr w:type="spellEnd"/>
      <w:r w:rsidR="0042173F">
        <w:rPr>
          <w:rFonts w:cs="Arial"/>
          <w:color w:val="333333"/>
          <w:lang w:val="en"/>
        </w:rPr>
        <w:t xml:space="preserve"> mean differences (SMD) of </w:t>
      </w:r>
      <w:r>
        <w:rPr>
          <w:rFonts w:cs="Arial"/>
          <w:color w:val="333333"/>
          <w:lang w:val="en"/>
        </w:rPr>
        <w:t>five</w:t>
      </w:r>
      <w:r w:rsidR="0042173F">
        <w:rPr>
          <w:rFonts w:cs="Arial"/>
          <w:color w:val="333333"/>
          <w:lang w:val="en"/>
        </w:rPr>
        <w:t xml:space="preserve"> outcomes. </w:t>
      </w:r>
      <w:r w:rsidR="004F0136">
        <w:rPr>
          <w:rFonts w:cs="Arial"/>
          <w:color w:val="333333"/>
          <w:lang w:val="en"/>
        </w:rPr>
        <w:t xml:space="preserve">Since we </w:t>
      </w:r>
      <w:r>
        <w:rPr>
          <w:rFonts w:cs="Arial"/>
          <w:color w:val="333333"/>
          <w:lang w:val="en"/>
        </w:rPr>
        <w:t>combined data from meta-analyses</w:t>
      </w:r>
      <w:r w:rsidR="004F0136">
        <w:rPr>
          <w:rFonts w:cs="Arial"/>
          <w:color w:val="333333"/>
          <w:lang w:val="en"/>
        </w:rPr>
        <w:t xml:space="preserve"> instead of individual trials</w:t>
      </w:r>
      <w:r w:rsidR="0042173F">
        <w:rPr>
          <w:rFonts w:cs="Arial"/>
          <w:color w:val="333333"/>
          <w:lang w:val="en"/>
        </w:rPr>
        <w:t xml:space="preserve">, double counting occurred </w:t>
      </w:r>
      <w:r>
        <w:rPr>
          <w:rFonts w:cs="Arial"/>
          <w:color w:val="333333"/>
          <w:lang w:val="en"/>
        </w:rPr>
        <w:t>because some original RCT’s were included in more than one meta-analysis</w:t>
      </w:r>
      <w:r w:rsidR="00C76A4F">
        <w:rPr>
          <w:rFonts w:cs="Arial"/>
          <w:color w:val="333333"/>
          <w:lang w:val="en"/>
        </w:rPr>
        <w:t xml:space="preserve"> which could have led to biased results</w:t>
      </w:r>
      <w:r w:rsidR="004F0136">
        <w:rPr>
          <w:rFonts w:cs="Arial"/>
          <w:color w:val="333333"/>
          <w:lang w:val="en"/>
        </w:rPr>
        <w:t xml:space="preserve">. </w:t>
      </w:r>
      <w:r w:rsidR="0042173F">
        <w:rPr>
          <w:rFonts w:cs="Arial"/>
          <w:color w:val="333333"/>
          <w:lang w:val="en"/>
        </w:rPr>
        <w:t>A</w:t>
      </w:r>
      <w:r w:rsidR="004F0136">
        <w:rPr>
          <w:rFonts w:cs="Arial"/>
          <w:color w:val="333333"/>
          <w:lang w:val="en"/>
        </w:rPr>
        <w:t xml:space="preserve"> priori </w:t>
      </w:r>
      <w:r w:rsidR="0042173F">
        <w:rPr>
          <w:rFonts w:cs="Arial"/>
          <w:color w:val="333333"/>
          <w:lang w:val="en"/>
        </w:rPr>
        <w:t xml:space="preserve">we </w:t>
      </w:r>
      <w:r w:rsidR="004F0136">
        <w:rPr>
          <w:rFonts w:cs="Arial"/>
          <w:color w:val="333333"/>
          <w:lang w:val="en"/>
        </w:rPr>
        <w:t xml:space="preserve">set the maximum of double counting in the meta-analyses at 10% </w:t>
      </w:r>
      <w:r w:rsidR="00876775">
        <w:rPr>
          <w:rFonts w:cs="Arial"/>
          <w:color w:val="333333"/>
          <w:lang w:val="en"/>
        </w:rPr>
        <w:t xml:space="preserve">per outcome </w:t>
      </w:r>
      <w:r w:rsidR="004F0136">
        <w:rPr>
          <w:rFonts w:cs="Arial"/>
          <w:color w:val="333333"/>
          <w:lang w:val="en"/>
        </w:rPr>
        <w:t>and excluded reviews that reported duplicate data</w:t>
      </w:r>
      <w:r w:rsidR="00C76A4F">
        <w:rPr>
          <w:rFonts w:cs="Arial"/>
          <w:color w:val="333333"/>
          <w:lang w:val="en"/>
        </w:rPr>
        <w:t xml:space="preserve"> until the predefined limit was reached</w:t>
      </w:r>
      <w:r w:rsidR="004F0136">
        <w:rPr>
          <w:rFonts w:cs="Arial"/>
          <w:color w:val="333333"/>
          <w:lang w:val="en"/>
        </w:rPr>
        <w:t xml:space="preserve">. </w:t>
      </w:r>
      <w:r w:rsidR="0042173F">
        <w:rPr>
          <w:rFonts w:cs="Arial"/>
          <w:color w:val="333333"/>
          <w:lang w:val="en"/>
        </w:rPr>
        <w:t>In the interest of transparency we</w:t>
      </w:r>
      <w:r w:rsidR="00C76A4F">
        <w:rPr>
          <w:rFonts w:cs="Arial"/>
          <w:color w:val="333333"/>
          <w:lang w:val="en"/>
        </w:rPr>
        <w:t xml:space="preserve"> clarified our approach in the Methods section and</w:t>
      </w:r>
      <w:r w:rsidR="0042173F">
        <w:rPr>
          <w:rFonts w:cs="Arial"/>
          <w:color w:val="333333"/>
          <w:lang w:val="en"/>
        </w:rPr>
        <w:t xml:space="preserve"> included a supplementary</w:t>
      </w:r>
      <w:r w:rsidR="004F0136">
        <w:rPr>
          <w:rFonts w:cs="Arial"/>
          <w:color w:val="333333"/>
          <w:lang w:val="en"/>
        </w:rPr>
        <w:t xml:space="preserve"> table </w:t>
      </w:r>
      <w:r w:rsidR="0042173F">
        <w:rPr>
          <w:rFonts w:cs="Arial"/>
          <w:color w:val="333333"/>
          <w:lang w:val="en"/>
        </w:rPr>
        <w:t xml:space="preserve">that identified the double included </w:t>
      </w:r>
      <w:r w:rsidR="004F0136">
        <w:rPr>
          <w:rFonts w:cs="Arial"/>
          <w:color w:val="333333"/>
          <w:lang w:val="en"/>
        </w:rPr>
        <w:t>RCTs per</w:t>
      </w:r>
      <w:r w:rsidR="0042173F">
        <w:rPr>
          <w:rFonts w:cs="Arial"/>
          <w:color w:val="333333"/>
          <w:lang w:val="en"/>
        </w:rPr>
        <w:t xml:space="preserve"> pooled outcome </w:t>
      </w:r>
      <w:r w:rsidR="004F0136">
        <w:rPr>
          <w:rFonts w:cs="Arial"/>
          <w:color w:val="333333"/>
          <w:lang w:val="en"/>
        </w:rPr>
        <w:t>(</w:t>
      </w:r>
      <w:r w:rsidR="00B22EE2">
        <w:rPr>
          <w:rFonts w:cs="Arial"/>
          <w:color w:val="333333"/>
          <w:lang w:val="en"/>
        </w:rPr>
        <w:t xml:space="preserve">supplement </w:t>
      </w:r>
      <w:hyperlink r:id="rId6" w:anchor="pone.0124344.s004" w:history="1">
        <w:r w:rsidR="004F0136">
          <w:rPr>
            <w:rStyle w:val="Hyperlink"/>
            <w:rFonts w:cs="Arial"/>
            <w:lang w:val="en"/>
          </w:rPr>
          <w:t>S3 Table</w:t>
        </w:r>
      </w:hyperlink>
      <w:r w:rsidR="004F0136">
        <w:rPr>
          <w:rFonts w:cs="Arial"/>
          <w:color w:val="333333"/>
          <w:lang w:val="en"/>
        </w:rPr>
        <w:t>).</w:t>
      </w:r>
      <w:r w:rsidR="003B2B71">
        <w:rPr>
          <w:rFonts w:cs="Arial"/>
          <w:color w:val="333333"/>
          <w:lang w:val="en"/>
        </w:rPr>
        <w:t xml:space="preserve"> On re-evaluation of the data we found two errors:</w:t>
      </w:r>
      <w:r w:rsidR="0042173F">
        <w:rPr>
          <w:rFonts w:cs="Arial"/>
          <w:color w:val="333333"/>
          <w:lang w:val="en"/>
        </w:rPr>
        <w:t xml:space="preserve"> </w:t>
      </w:r>
      <w:r w:rsidR="003B2B71">
        <w:rPr>
          <w:rFonts w:cs="Arial"/>
          <w:color w:val="333333"/>
          <w:lang w:val="en"/>
        </w:rPr>
        <w:t>i</w:t>
      </w:r>
      <w:r w:rsidR="00B22EE2">
        <w:rPr>
          <w:rFonts w:cs="Arial"/>
          <w:color w:val="333333"/>
          <w:lang w:val="en"/>
        </w:rPr>
        <w:t xml:space="preserve">n the supplementary table the two RCT’s from the </w:t>
      </w:r>
      <w:proofErr w:type="spellStart"/>
      <w:r w:rsidR="00B22EE2">
        <w:rPr>
          <w:rFonts w:cs="Arial"/>
          <w:color w:val="333333"/>
          <w:lang w:val="en"/>
        </w:rPr>
        <w:t>Veehof</w:t>
      </w:r>
      <w:proofErr w:type="spellEnd"/>
      <w:r w:rsidR="00B22EE2">
        <w:rPr>
          <w:rFonts w:cs="Arial"/>
          <w:color w:val="333333"/>
          <w:lang w:val="en"/>
        </w:rPr>
        <w:t xml:space="preserve"> 2011 meta-analysis were inadvertently not listed</w:t>
      </w:r>
      <w:r w:rsidR="003B2B71">
        <w:rPr>
          <w:rFonts w:cs="Arial"/>
          <w:color w:val="333333"/>
          <w:lang w:val="en"/>
        </w:rPr>
        <w:t xml:space="preserve"> and in Figure 1 we had inadvertently included in our pooled estimates of anxiety the meta-analyses of Cramer 2012 and </w:t>
      </w:r>
      <w:proofErr w:type="spellStart"/>
      <w:r w:rsidR="003B2B71">
        <w:rPr>
          <w:rFonts w:cs="Arial"/>
          <w:color w:val="333333"/>
          <w:lang w:val="en"/>
        </w:rPr>
        <w:t>Galante</w:t>
      </w:r>
      <w:proofErr w:type="spellEnd"/>
      <w:r w:rsidR="003B2B71">
        <w:rPr>
          <w:rFonts w:cs="Arial"/>
          <w:color w:val="333333"/>
          <w:lang w:val="en"/>
        </w:rPr>
        <w:t xml:space="preserve"> 2012 which led to double-counting beyond our predefined maximum.  </w:t>
      </w:r>
      <w:r w:rsidR="00B22EE2">
        <w:rPr>
          <w:rFonts w:cs="Arial"/>
          <w:color w:val="333333"/>
          <w:lang w:val="en"/>
        </w:rPr>
        <w:t xml:space="preserve">  </w:t>
      </w:r>
    </w:p>
    <w:p w:rsidR="00EF3B31" w:rsidRDefault="003B2B71" w:rsidP="00EF3B31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>The t</w:t>
      </w:r>
      <w:r w:rsidR="00EF3B31">
        <w:rPr>
          <w:rFonts w:cs="Arial"/>
          <w:color w:val="333333"/>
          <w:lang w:val="en"/>
        </w:rPr>
        <w:t xml:space="preserve">able below indicates the number of included RCT’s per outcome, the number of unique RCT’s, the number double counted, the </w:t>
      </w:r>
      <w:r w:rsidR="00B22EE2">
        <w:rPr>
          <w:rFonts w:cs="Arial"/>
          <w:color w:val="333333"/>
          <w:lang w:val="en"/>
        </w:rPr>
        <w:t>smallest and largest mean effect size</w:t>
      </w:r>
      <w:r w:rsidR="00EF3B31">
        <w:rPr>
          <w:rFonts w:cs="Arial"/>
          <w:color w:val="333333"/>
          <w:lang w:val="en"/>
        </w:rPr>
        <w:t xml:space="preserve"> from the published meta-analyses, our </w:t>
      </w:r>
      <w:r>
        <w:rPr>
          <w:rFonts w:cs="Arial"/>
          <w:color w:val="333333"/>
          <w:lang w:val="en"/>
        </w:rPr>
        <w:t>previously reported</w:t>
      </w:r>
      <w:r w:rsidR="00B22EE2">
        <w:rPr>
          <w:rFonts w:cs="Arial"/>
          <w:color w:val="333333"/>
          <w:lang w:val="en"/>
        </w:rPr>
        <w:t xml:space="preserve"> </w:t>
      </w:r>
      <w:r w:rsidR="00EF3B31">
        <w:rPr>
          <w:rFonts w:cs="Arial"/>
          <w:color w:val="333333"/>
          <w:lang w:val="en"/>
        </w:rPr>
        <w:t>pooled estimates</w:t>
      </w:r>
      <w:r>
        <w:rPr>
          <w:rFonts w:cs="Arial"/>
          <w:color w:val="333333"/>
          <w:lang w:val="en"/>
        </w:rPr>
        <w:t xml:space="preserve"> for depression, stress, quality of life, and physical functioning, and the revised pooled estimate for anxiety</w:t>
      </w:r>
      <w:r w:rsidR="00EF3B31">
        <w:rPr>
          <w:rFonts w:cs="Arial"/>
          <w:color w:val="333333"/>
          <w:lang w:val="en"/>
        </w:rPr>
        <w:t xml:space="preserve">.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32"/>
        <w:gridCol w:w="913"/>
        <w:gridCol w:w="950"/>
        <w:gridCol w:w="888"/>
        <w:gridCol w:w="1879"/>
        <w:gridCol w:w="1736"/>
        <w:gridCol w:w="1949"/>
      </w:tblGrid>
      <w:tr w:rsidR="00B22EE2" w:rsidTr="00723E1B">
        <w:tc>
          <w:tcPr>
            <w:tcW w:w="1432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Meta-analysis on</w:t>
            </w:r>
          </w:p>
        </w:tc>
        <w:tc>
          <w:tcPr>
            <w:tcW w:w="913" w:type="dxa"/>
          </w:tcPr>
          <w:p w:rsidR="00B22EE2" w:rsidRDefault="00B22EE2" w:rsidP="0042173F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Number of RCT’s included in meta-analysis</w:t>
            </w:r>
          </w:p>
        </w:tc>
        <w:tc>
          <w:tcPr>
            <w:tcW w:w="950" w:type="dxa"/>
          </w:tcPr>
          <w:p w:rsidR="00B22EE2" w:rsidRDefault="00B22EE2" w:rsidP="0042173F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 xml:space="preserve">Number of unique RCT’s included </w:t>
            </w:r>
          </w:p>
        </w:tc>
        <w:tc>
          <w:tcPr>
            <w:tcW w:w="888" w:type="dxa"/>
          </w:tcPr>
          <w:p w:rsidR="00B22EE2" w:rsidRDefault="00B22EE2" w:rsidP="00852B19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Number double counted RCT’s</w:t>
            </w:r>
          </w:p>
        </w:tc>
        <w:tc>
          <w:tcPr>
            <w:tcW w:w="187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Smallest mean effect size from the published meta-analyses</w:t>
            </w:r>
          </w:p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(SMD, 95% CI)</w:t>
            </w:r>
          </w:p>
        </w:tc>
        <w:tc>
          <w:tcPr>
            <w:tcW w:w="1736" w:type="dxa"/>
          </w:tcPr>
          <w:p w:rsidR="00B22EE2" w:rsidRDefault="00B22EE2" w:rsidP="00D810D9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Largest mean effect size from the published meta-analyses</w:t>
            </w:r>
          </w:p>
          <w:p w:rsidR="00B22EE2" w:rsidRDefault="00B22EE2" w:rsidP="00D810D9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(SMD, 95% CI)</w:t>
            </w:r>
          </w:p>
        </w:tc>
        <w:tc>
          <w:tcPr>
            <w:tcW w:w="194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Our pooled estimates</w:t>
            </w:r>
          </w:p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(SMD, 95% CI))</w:t>
            </w:r>
          </w:p>
        </w:tc>
      </w:tr>
      <w:tr w:rsidR="00B22EE2" w:rsidTr="00723E1B">
        <w:tc>
          <w:tcPr>
            <w:tcW w:w="1432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Depression</w:t>
            </w:r>
          </w:p>
        </w:tc>
        <w:tc>
          <w:tcPr>
            <w:tcW w:w="913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34</w:t>
            </w:r>
          </w:p>
        </w:tc>
        <w:tc>
          <w:tcPr>
            <w:tcW w:w="950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33</w:t>
            </w:r>
          </w:p>
        </w:tc>
        <w:tc>
          <w:tcPr>
            <w:tcW w:w="888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1</w:t>
            </w:r>
          </w:p>
        </w:tc>
        <w:tc>
          <w:tcPr>
            <w:tcW w:w="1879" w:type="dxa"/>
          </w:tcPr>
          <w:p w:rsidR="00B22EE2" w:rsidRDefault="00B22EE2" w:rsidP="00061FBB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-0.26 (-0.48, -0.04)</w:t>
            </w:r>
          </w:p>
        </w:tc>
        <w:tc>
          <w:tcPr>
            <w:tcW w:w="1736" w:type="dxa"/>
          </w:tcPr>
          <w:p w:rsidR="00B22EE2" w:rsidRDefault="00B22EE2" w:rsidP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-0.44 (-0.64, -0.24)</w:t>
            </w:r>
          </w:p>
        </w:tc>
        <w:tc>
          <w:tcPr>
            <w:tcW w:w="194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-0.37 (-0.45, -0.28)</w:t>
            </w:r>
          </w:p>
        </w:tc>
      </w:tr>
      <w:tr w:rsidR="00B22EE2" w:rsidTr="00723E1B">
        <w:tc>
          <w:tcPr>
            <w:tcW w:w="1432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Anxiety</w:t>
            </w:r>
          </w:p>
        </w:tc>
        <w:tc>
          <w:tcPr>
            <w:tcW w:w="913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35</w:t>
            </w:r>
          </w:p>
        </w:tc>
        <w:tc>
          <w:tcPr>
            <w:tcW w:w="950" w:type="dxa"/>
          </w:tcPr>
          <w:p w:rsidR="00B22EE2" w:rsidRDefault="00B22EE2" w:rsidP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32</w:t>
            </w:r>
          </w:p>
        </w:tc>
        <w:tc>
          <w:tcPr>
            <w:tcW w:w="888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3</w:t>
            </w:r>
          </w:p>
        </w:tc>
        <w:tc>
          <w:tcPr>
            <w:tcW w:w="187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-0.37 (-0.49, -0.25)</w:t>
            </w:r>
          </w:p>
        </w:tc>
        <w:tc>
          <w:tcPr>
            <w:tcW w:w="1736" w:type="dxa"/>
          </w:tcPr>
          <w:p w:rsidR="00B22EE2" w:rsidRDefault="00B22EE2" w:rsidP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-0.73 (-1.00, -0.46)</w:t>
            </w:r>
          </w:p>
        </w:tc>
        <w:tc>
          <w:tcPr>
            <w:tcW w:w="1949" w:type="dxa"/>
          </w:tcPr>
          <w:p w:rsidR="00723E1B" w:rsidRDefault="00723E1B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-0.49 (-0.60, -0.38)*</w:t>
            </w:r>
          </w:p>
        </w:tc>
      </w:tr>
      <w:tr w:rsidR="00B22EE2" w:rsidTr="00723E1B">
        <w:tc>
          <w:tcPr>
            <w:tcW w:w="1432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Stress</w:t>
            </w:r>
          </w:p>
        </w:tc>
        <w:tc>
          <w:tcPr>
            <w:tcW w:w="913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23</w:t>
            </w:r>
          </w:p>
        </w:tc>
        <w:tc>
          <w:tcPr>
            <w:tcW w:w="950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23</w:t>
            </w:r>
          </w:p>
        </w:tc>
        <w:tc>
          <w:tcPr>
            <w:tcW w:w="888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0</w:t>
            </w:r>
          </w:p>
        </w:tc>
        <w:tc>
          <w:tcPr>
            <w:tcW w:w="1879" w:type="dxa"/>
          </w:tcPr>
          <w:p w:rsidR="00B22EE2" w:rsidRDefault="00B22EE2" w:rsidP="00D1553C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-0.38 (-0.65, -0.11)</w:t>
            </w:r>
          </w:p>
        </w:tc>
        <w:tc>
          <w:tcPr>
            <w:tcW w:w="1736" w:type="dxa"/>
          </w:tcPr>
          <w:p w:rsidR="00B22EE2" w:rsidRDefault="00B22EE2" w:rsidP="00D810D9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-0.56 (-0.68, -0.44)</w:t>
            </w:r>
          </w:p>
        </w:tc>
        <w:tc>
          <w:tcPr>
            <w:tcW w:w="194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-0.51 (-0.67, -0.36)</w:t>
            </w:r>
          </w:p>
        </w:tc>
      </w:tr>
      <w:tr w:rsidR="00B22EE2" w:rsidTr="00723E1B">
        <w:tc>
          <w:tcPr>
            <w:tcW w:w="1432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Quality of life</w:t>
            </w:r>
          </w:p>
        </w:tc>
        <w:tc>
          <w:tcPr>
            <w:tcW w:w="913" w:type="dxa"/>
          </w:tcPr>
          <w:p w:rsidR="00B22EE2" w:rsidRDefault="00B22EE2" w:rsidP="00061FBB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8</w:t>
            </w:r>
          </w:p>
        </w:tc>
        <w:tc>
          <w:tcPr>
            <w:tcW w:w="950" w:type="dxa"/>
          </w:tcPr>
          <w:p w:rsidR="00B22EE2" w:rsidRDefault="00B22EE2" w:rsidP="00061FBB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8</w:t>
            </w:r>
          </w:p>
        </w:tc>
        <w:tc>
          <w:tcPr>
            <w:tcW w:w="888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0</w:t>
            </w:r>
          </w:p>
        </w:tc>
        <w:tc>
          <w:tcPr>
            <w:tcW w:w="187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-0.25 (-0.58, 0.08)</w:t>
            </w:r>
          </w:p>
        </w:tc>
        <w:tc>
          <w:tcPr>
            <w:tcW w:w="1736" w:type="dxa"/>
          </w:tcPr>
          <w:p w:rsidR="00B22EE2" w:rsidRDefault="00B22EE2" w:rsidP="003B2B71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-0.57 (-0.97, -0.17</w:t>
            </w:r>
            <w:r w:rsidR="003B2B71">
              <w:rPr>
                <w:rFonts w:cs="Arial"/>
                <w:color w:val="333333"/>
                <w:lang w:val="en"/>
              </w:rPr>
              <w:t>)</w:t>
            </w:r>
          </w:p>
        </w:tc>
        <w:tc>
          <w:tcPr>
            <w:tcW w:w="194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-0.39 (-0.70, -0.08)</w:t>
            </w:r>
          </w:p>
        </w:tc>
      </w:tr>
      <w:tr w:rsidR="00B22EE2" w:rsidTr="00723E1B">
        <w:tc>
          <w:tcPr>
            <w:tcW w:w="1432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Physical functioning</w:t>
            </w:r>
          </w:p>
        </w:tc>
        <w:tc>
          <w:tcPr>
            <w:tcW w:w="913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17</w:t>
            </w:r>
          </w:p>
        </w:tc>
        <w:tc>
          <w:tcPr>
            <w:tcW w:w="950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16</w:t>
            </w:r>
          </w:p>
        </w:tc>
        <w:tc>
          <w:tcPr>
            <w:tcW w:w="888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1</w:t>
            </w:r>
          </w:p>
        </w:tc>
        <w:tc>
          <w:tcPr>
            <w:tcW w:w="187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-0.17 (-0.41, 0.07)</w:t>
            </w:r>
          </w:p>
        </w:tc>
        <w:tc>
          <w:tcPr>
            <w:tcW w:w="1736" w:type="dxa"/>
          </w:tcPr>
          <w:p w:rsidR="00B22EE2" w:rsidRDefault="00B22EE2" w:rsidP="00D810D9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-0.43 (-0.82, -0.04)</w:t>
            </w:r>
          </w:p>
        </w:tc>
        <w:tc>
          <w:tcPr>
            <w:tcW w:w="1949" w:type="dxa"/>
          </w:tcPr>
          <w:p w:rsidR="00B22EE2" w:rsidRDefault="00B22EE2">
            <w:pPr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-0.27 (-0.42, -0.12)</w:t>
            </w:r>
          </w:p>
        </w:tc>
      </w:tr>
    </w:tbl>
    <w:p w:rsidR="0042173F" w:rsidRDefault="00723E1B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>*Revised estimate</w:t>
      </w:r>
      <w:r w:rsidR="003B2B71">
        <w:rPr>
          <w:rFonts w:cs="Arial"/>
          <w:color w:val="333333"/>
          <w:lang w:val="en"/>
        </w:rPr>
        <w:br/>
      </w:r>
      <w:r w:rsidR="00061FBB">
        <w:rPr>
          <w:rFonts w:cs="Arial"/>
          <w:color w:val="333333"/>
          <w:lang w:val="en"/>
        </w:rPr>
        <w:t>SMD</w:t>
      </w:r>
      <w:r w:rsidR="003B2B71">
        <w:rPr>
          <w:rFonts w:cs="Arial"/>
          <w:color w:val="333333"/>
          <w:lang w:val="en"/>
        </w:rPr>
        <w:t xml:space="preserve">: </w:t>
      </w:r>
      <w:r w:rsidR="00061FBB">
        <w:rPr>
          <w:rFonts w:cs="Arial"/>
          <w:color w:val="333333"/>
          <w:lang w:val="en"/>
        </w:rPr>
        <w:t xml:space="preserve"> standardized mean difference</w:t>
      </w:r>
      <w:r w:rsidR="00D1553C">
        <w:rPr>
          <w:rFonts w:cs="Arial"/>
          <w:color w:val="333333"/>
          <w:lang w:val="en"/>
        </w:rPr>
        <w:t>, all expressed such that a negative sign indicates improvement</w:t>
      </w:r>
      <w:r w:rsidR="003B2B71">
        <w:rPr>
          <w:rFonts w:cs="Arial"/>
          <w:color w:val="333333"/>
          <w:lang w:val="en"/>
        </w:rPr>
        <w:br/>
      </w:r>
      <w:r w:rsidR="0042173F">
        <w:rPr>
          <w:rFonts w:cs="Arial"/>
          <w:color w:val="333333"/>
          <w:lang w:val="en"/>
        </w:rPr>
        <w:t>CI</w:t>
      </w:r>
      <w:r w:rsidR="003B2B71">
        <w:rPr>
          <w:rFonts w:cs="Arial"/>
          <w:color w:val="333333"/>
          <w:lang w:val="en"/>
        </w:rPr>
        <w:t>:</w:t>
      </w:r>
      <w:r w:rsidR="0042173F">
        <w:rPr>
          <w:rFonts w:cs="Arial"/>
          <w:color w:val="333333"/>
          <w:lang w:val="en"/>
        </w:rPr>
        <w:t xml:space="preserve"> confidence interval</w:t>
      </w:r>
    </w:p>
    <w:p w:rsidR="003B2B71" w:rsidRDefault="003B2B71" w:rsidP="003B2B71">
      <w:pPr>
        <w:rPr>
          <w:rFonts w:cs="Arial"/>
          <w:color w:val="333333"/>
          <w:lang w:val="en"/>
        </w:rPr>
      </w:pPr>
    </w:p>
    <w:p w:rsidR="000334CD" w:rsidRDefault="003F466D" w:rsidP="003B2B71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>All o</w:t>
      </w:r>
      <w:r w:rsidR="003B2B71">
        <w:rPr>
          <w:rFonts w:cs="Arial"/>
          <w:color w:val="333333"/>
          <w:lang w:val="en"/>
        </w:rPr>
        <w:t xml:space="preserve">ur pooled estimates are well within the range of estimates from the published meta-analyses. The revised pooled estimate for anxiety is practically the same as the previously reported one with only a slightly wider CI. Pooling the results from the meta-analyses led to narrower 95% confidence intervals (CI) than those of the published meta-analyses </w:t>
      </w:r>
      <w:r w:rsidR="00C76A4F">
        <w:rPr>
          <w:rFonts w:cs="Arial"/>
          <w:color w:val="333333"/>
          <w:lang w:val="en"/>
        </w:rPr>
        <w:t xml:space="preserve">mainly because of the increased power with an increased number of RCT’s. </w:t>
      </w:r>
      <w:r w:rsidR="000334CD">
        <w:rPr>
          <w:rFonts w:cs="Arial"/>
          <w:color w:val="333333"/>
          <w:lang w:val="en"/>
        </w:rPr>
        <w:t>D</w:t>
      </w:r>
      <w:r w:rsidR="00C76A4F">
        <w:rPr>
          <w:rFonts w:cs="Arial"/>
          <w:color w:val="333333"/>
          <w:lang w:val="en"/>
        </w:rPr>
        <w:t xml:space="preserve">ue to </w:t>
      </w:r>
      <w:r w:rsidR="000334CD">
        <w:rPr>
          <w:rFonts w:cs="Arial"/>
          <w:color w:val="333333"/>
          <w:lang w:val="en"/>
        </w:rPr>
        <w:t xml:space="preserve">some </w:t>
      </w:r>
      <w:r w:rsidR="003B2B71">
        <w:rPr>
          <w:rFonts w:cs="Arial"/>
          <w:color w:val="333333"/>
          <w:lang w:val="en"/>
        </w:rPr>
        <w:t xml:space="preserve">double counting </w:t>
      </w:r>
      <w:r w:rsidR="00C76A4F">
        <w:rPr>
          <w:rFonts w:cs="Arial"/>
          <w:color w:val="333333"/>
          <w:lang w:val="en"/>
        </w:rPr>
        <w:t xml:space="preserve">these pooled estimates </w:t>
      </w:r>
      <w:r w:rsidR="000334CD">
        <w:rPr>
          <w:rFonts w:cs="Arial"/>
          <w:color w:val="333333"/>
          <w:lang w:val="en"/>
        </w:rPr>
        <w:t xml:space="preserve">may </w:t>
      </w:r>
      <w:r w:rsidR="003B2B71">
        <w:rPr>
          <w:rFonts w:cs="Arial"/>
          <w:color w:val="333333"/>
          <w:lang w:val="en"/>
        </w:rPr>
        <w:t xml:space="preserve">underestimate the </w:t>
      </w:r>
      <w:r w:rsidR="00C76A4F">
        <w:rPr>
          <w:rFonts w:cs="Arial"/>
          <w:color w:val="333333"/>
          <w:lang w:val="en"/>
        </w:rPr>
        <w:t xml:space="preserve">degree of </w:t>
      </w:r>
      <w:r w:rsidR="003B2B71">
        <w:rPr>
          <w:rFonts w:cs="Arial"/>
          <w:color w:val="333333"/>
          <w:lang w:val="en"/>
        </w:rPr>
        <w:t>uncertainty in the result.</w:t>
      </w:r>
      <w:r w:rsidR="00C76A4F">
        <w:rPr>
          <w:rFonts w:cs="Arial"/>
          <w:color w:val="333333"/>
          <w:lang w:val="en"/>
        </w:rPr>
        <w:t xml:space="preserve"> </w:t>
      </w:r>
      <w:r w:rsidR="000334CD">
        <w:rPr>
          <w:rFonts w:cs="Arial"/>
          <w:color w:val="333333"/>
          <w:lang w:val="en"/>
        </w:rPr>
        <w:t>O</w:t>
      </w:r>
      <w:r w:rsidR="003B2B71">
        <w:rPr>
          <w:rFonts w:cs="Arial"/>
          <w:color w:val="333333"/>
          <w:lang w:val="en"/>
        </w:rPr>
        <w:t xml:space="preserve">ur </w:t>
      </w:r>
      <w:r w:rsidR="00BC271D">
        <w:rPr>
          <w:rFonts w:cs="Arial"/>
          <w:color w:val="333333"/>
          <w:lang w:val="en"/>
        </w:rPr>
        <w:t xml:space="preserve">pooled </w:t>
      </w:r>
      <w:r w:rsidR="00BC271D">
        <w:rPr>
          <w:rFonts w:cs="Arial"/>
          <w:color w:val="333333"/>
          <w:lang w:val="en"/>
        </w:rPr>
        <w:lastRenderedPageBreak/>
        <w:t>estimates</w:t>
      </w:r>
      <w:r w:rsidR="003B2B71">
        <w:rPr>
          <w:rFonts w:cs="Arial"/>
          <w:color w:val="333333"/>
          <w:lang w:val="en"/>
        </w:rPr>
        <w:t xml:space="preserve"> </w:t>
      </w:r>
      <w:r w:rsidR="00BC271D">
        <w:rPr>
          <w:rFonts w:cs="Arial"/>
          <w:color w:val="333333"/>
          <w:lang w:val="en"/>
        </w:rPr>
        <w:t xml:space="preserve">and CI’s </w:t>
      </w:r>
      <w:r w:rsidR="003B2B71">
        <w:rPr>
          <w:rFonts w:cs="Arial"/>
          <w:color w:val="333333"/>
          <w:lang w:val="en"/>
        </w:rPr>
        <w:t xml:space="preserve">for the outcomes stress and quality of life </w:t>
      </w:r>
      <w:r w:rsidR="00BC271D">
        <w:rPr>
          <w:rFonts w:cs="Arial"/>
          <w:color w:val="333333"/>
          <w:lang w:val="en"/>
        </w:rPr>
        <w:t xml:space="preserve">are valid </w:t>
      </w:r>
      <w:r w:rsidR="003B2B71">
        <w:rPr>
          <w:rFonts w:cs="Arial"/>
          <w:color w:val="333333"/>
          <w:lang w:val="en"/>
        </w:rPr>
        <w:t xml:space="preserve">since there was no double counting for these two outcomes. </w:t>
      </w:r>
      <w:r w:rsidR="00BC271D">
        <w:rPr>
          <w:rFonts w:cs="Arial"/>
          <w:color w:val="333333"/>
          <w:lang w:val="en"/>
        </w:rPr>
        <w:t>For depression and anxiety</w:t>
      </w:r>
      <w:r w:rsidR="003B2B71">
        <w:rPr>
          <w:rFonts w:cs="Arial"/>
          <w:color w:val="333333"/>
          <w:lang w:val="en"/>
        </w:rPr>
        <w:t xml:space="preserve"> </w:t>
      </w:r>
      <w:r w:rsidR="000334CD">
        <w:rPr>
          <w:rFonts w:cs="Arial"/>
          <w:color w:val="333333"/>
          <w:lang w:val="en"/>
        </w:rPr>
        <w:t>all but one</w:t>
      </w:r>
      <w:r w:rsidR="003B2B71">
        <w:rPr>
          <w:rFonts w:cs="Arial"/>
          <w:color w:val="333333"/>
          <w:lang w:val="en"/>
        </w:rPr>
        <w:t xml:space="preserve"> published </w:t>
      </w:r>
      <w:r w:rsidR="000334CD">
        <w:rPr>
          <w:rFonts w:cs="Arial"/>
          <w:color w:val="333333"/>
          <w:lang w:val="en"/>
        </w:rPr>
        <w:t>meta-analysis</w:t>
      </w:r>
      <w:r w:rsidR="003B2B71">
        <w:rPr>
          <w:rFonts w:cs="Arial"/>
          <w:color w:val="333333"/>
          <w:lang w:val="en"/>
        </w:rPr>
        <w:t xml:space="preserve"> indicate</w:t>
      </w:r>
      <w:r w:rsidR="00BE3B6D">
        <w:rPr>
          <w:rFonts w:cs="Arial"/>
          <w:color w:val="333333"/>
          <w:lang w:val="en"/>
        </w:rPr>
        <w:t>d</w:t>
      </w:r>
      <w:r w:rsidR="003B2B71">
        <w:rPr>
          <w:rFonts w:cs="Arial"/>
          <w:color w:val="333333"/>
          <w:lang w:val="en"/>
        </w:rPr>
        <w:t xml:space="preserve"> significant improvement</w:t>
      </w:r>
      <w:r w:rsidR="00BE3B6D">
        <w:rPr>
          <w:rFonts w:cs="Arial"/>
          <w:color w:val="333333"/>
          <w:lang w:val="en"/>
        </w:rPr>
        <w:t xml:space="preserve"> consistent with our pooled estimates</w:t>
      </w:r>
      <w:r w:rsidR="003B2B71">
        <w:rPr>
          <w:rFonts w:cs="Arial"/>
          <w:color w:val="333333"/>
          <w:lang w:val="en"/>
        </w:rPr>
        <w:t xml:space="preserve">. </w:t>
      </w:r>
      <w:r w:rsidR="000334CD">
        <w:rPr>
          <w:rFonts w:cs="Arial"/>
          <w:color w:val="333333"/>
          <w:lang w:val="en"/>
        </w:rPr>
        <w:t>(One meta-analysis evaluating anxiety could not demonstrate significance but this analysis included only 2 small RCT’s</w:t>
      </w:r>
      <w:r w:rsidR="00BC271D">
        <w:rPr>
          <w:rFonts w:cs="Arial"/>
          <w:color w:val="333333"/>
          <w:lang w:val="en"/>
        </w:rPr>
        <w:t xml:space="preserve"> and thus had too little power to demonstrate significance</w:t>
      </w:r>
      <w:r w:rsidR="000334CD">
        <w:rPr>
          <w:rFonts w:cs="Arial"/>
          <w:color w:val="333333"/>
          <w:lang w:val="en"/>
        </w:rPr>
        <w:t xml:space="preserve">). </w:t>
      </w:r>
      <w:r w:rsidR="003B2B71">
        <w:rPr>
          <w:rFonts w:cs="Arial"/>
          <w:color w:val="333333"/>
          <w:lang w:val="en"/>
        </w:rPr>
        <w:t>For the outcome physical functioning, one previously published meta-analyses reported a lower non-significant effect</w:t>
      </w:r>
      <w:r w:rsidR="00D15974">
        <w:rPr>
          <w:rFonts w:cs="Arial"/>
          <w:color w:val="333333"/>
          <w:lang w:val="en"/>
        </w:rPr>
        <w:t xml:space="preserve"> whereas the other two indicated a significant improvement</w:t>
      </w:r>
      <w:r w:rsidR="003B2B71">
        <w:rPr>
          <w:rFonts w:cs="Arial"/>
          <w:color w:val="333333"/>
          <w:lang w:val="en"/>
        </w:rPr>
        <w:t xml:space="preserve">. </w:t>
      </w:r>
    </w:p>
    <w:p w:rsidR="00D15974" w:rsidRDefault="00D15974" w:rsidP="003B2B71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>All-in-all</w:t>
      </w:r>
      <w:r w:rsidR="00BE3B6D">
        <w:rPr>
          <w:rFonts w:cs="Arial"/>
          <w:color w:val="333333"/>
          <w:lang w:val="en"/>
        </w:rPr>
        <w:t xml:space="preserve"> our conclusion remains unchanged:</w:t>
      </w:r>
      <w:r>
        <w:rPr>
          <w:rFonts w:cs="Arial"/>
          <w:color w:val="333333"/>
          <w:lang w:val="en"/>
        </w:rPr>
        <w:t xml:space="preserve"> the results indicate a beneficial effect of mindfulness. </w:t>
      </w:r>
    </w:p>
    <w:p w:rsidR="00D15974" w:rsidRDefault="00D15974" w:rsidP="003B2B71">
      <w:pPr>
        <w:rPr>
          <w:rFonts w:cs="Arial"/>
          <w:color w:val="333333"/>
          <w:lang w:val="en"/>
        </w:rPr>
      </w:pPr>
    </w:p>
    <w:p w:rsidR="00AF7867" w:rsidRPr="007477EF" w:rsidRDefault="00AF7867" w:rsidP="003B2B71">
      <w:pPr>
        <w:rPr>
          <w:rFonts w:cs="Arial"/>
          <w:color w:val="333333"/>
          <w:lang w:val="en-GB"/>
        </w:rPr>
      </w:pPr>
      <w:r w:rsidRPr="007477EF">
        <w:rPr>
          <w:rFonts w:cs="Arial"/>
          <w:color w:val="333333"/>
          <w:lang w:val="en-GB"/>
        </w:rPr>
        <w:t>M. G. Myriam Hunink, MD, PhD</w:t>
      </w:r>
    </w:p>
    <w:p w:rsidR="00BC271D" w:rsidRPr="007477EF" w:rsidRDefault="00BC271D" w:rsidP="003B2B71">
      <w:pPr>
        <w:rPr>
          <w:rFonts w:cs="Arial"/>
          <w:color w:val="333333"/>
          <w:lang w:val="en-GB"/>
        </w:rPr>
      </w:pPr>
      <w:r w:rsidRPr="007477EF">
        <w:rPr>
          <w:rFonts w:cs="Arial"/>
          <w:color w:val="333333"/>
          <w:lang w:val="en-GB"/>
        </w:rPr>
        <w:t>Rinske A. Gotink, MSc, PhD</w:t>
      </w:r>
    </w:p>
    <w:p w:rsidR="00AF7867" w:rsidRPr="00BC271D" w:rsidRDefault="00E92393" w:rsidP="003B2B71">
      <w:pPr>
        <w:rPr>
          <w:rFonts w:cs="Arial"/>
          <w:color w:val="333333"/>
          <w:lang w:val="nl-NL"/>
        </w:rPr>
      </w:pPr>
      <w:r w:rsidRPr="00BC271D">
        <w:rPr>
          <w:rFonts w:cs="Arial"/>
          <w:color w:val="333333"/>
          <w:lang w:val="nl-NL"/>
        </w:rPr>
        <w:t>Erasmus MC, Rotterdam</w:t>
      </w:r>
    </w:p>
    <w:p w:rsidR="00AF7867" w:rsidRDefault="007477EF" w:rsidP="003B2B71">
      <w:pPr>
        <w:rPr>
          <w:rFonts w:cs="Arial"/>
          <w:color w:val="333333"/>
          <w:lang w:val="nl-NL"/>
        </w:rPr>
      </w:pPr>
      <w:bookmarkStart w:id="0" w:name="_GoBack"/>
      <w:bookmarkEnd w:id="0"/>
      <w:r>
        <w:rPr>
          <w:rFonts w:cs="Arial"/>
          <w:color w:val="333333"/>
          <w:lang w:val="nl-NL"/>
        </w:rPr>
        <w:t>Nov 14, 2018</w:t>
      </w:r>
    </w:p>
    <w:p w:rsidR="007477EF" w:rsidRPr="00BC271D" w:rsidRDefault="007477EF" w:rsidP="003B2B71">
      <w:pPr>
        <w:rPr>
          <w:rFonts w:cs="Arial"/>
          <w:color w:val="333333"/>
          <w:lang w:val="nl-NL"/>
        </w:rPr>
      </w:pPr>
    </w:p>
    <w:p w:rsidR="001713A3" w:rsidRPr="00BC271D" w:rsidRDefault="001713A3">
      <w:pPr>
        <w:rPr>
          <w:lang w:val="nl-NL"/>
        </w:rPr>
      </w:pPr>
    </w:p>
    <w:sectPr w:rsidR="001713A3" w:rsidRPr="00BC2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36"/>
    <w:rsid w:val="000334CD"/>
    <w:rsid w:val="00061FBB"/>
    <w:rsid w:val="00117220"/>
    <w:rsid w:val="001713A3"/>
    <w:rsid w:val="003B2B71"/>
    <w:rsid w:val="003F466D"/>
    <w:rsid w:val="0042173F"/>
    <w:rsid w:val="00422741"/>
    <w:rsid w:val="004F0136"/>
    <w:rsid w:val="00723E1B"/>
    <w:rsid w:val="007477EF"/>
    <w:rsid w:val="00802FB8"/>
    <w:rsid w:val="00852B19"/>
    <w:rsid w:val="00876775"/>
    <w:rsid w:val="00981F43"/>
    <w:rsid w:val="00AF7867"/>
    <w:rsid w:val="00B22EE2"/>
    <w:rsid w:val="00BC271D"/>
    <w:rsid w:val="00BE3B6D"/>
    <w:rsid w:val="00C3567F"/>
    <w:rsid w:val="00C76A4F"/>
    <w:rsid w:val="00D1553C"/>
    <w:rsid w:val="00D15974"/>
    <w:rsid w:val="00E92393"/>
    <w:rsid w:val="00E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E6E6"/>
  <w15:docId w15:val="{7DBDC0A9-3ABC-45FF-B385-55E26528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43"/>
    <w:pPr>
      <w:spacing w:after="120"/>
    </w:pPr>
    <w:rPr>
      <w:color w:val="00232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136"/>
    <w:rPr>
      <w:strike w:val="0"/>
      <w:dstrike w:val="0"/>
      <w:color w:val="3C63A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F0136"/>
    <w:rPr>
      <w:b/>
      <w:bCs/>
    </w:rPr>
  </w:style>
  <w:style w:type="table" w:styleId="TableGrid">
    <w:name w:val="Table Grid"/>
    <w:basedOn w:val="TableNormal"/>
    <w:uiPriority w:val="59"/>
    <w:rsid w:val="0017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plos.org/plosone/article?id=10.1371/journal.pone.0124344" TargetMode="External"/><Relationship Id="rId5" Type="http://schemas.openxmlformats.org/officeDocument/2006/relationships/hyperlink" Target="https://doi.org/10.1371/journal.pone.0124344" TargetMode="External"/><Relationship Id="rId4" Type="http://schemas.openxmlformats.org/officeDocument/2006/relationships/hyperlink" Target="https://journals.plos.org/plosone/article?id=10.1371/journal.pone.0124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M.G.M. Hunink</dc:creator>
  <cp:lastModifiedBy>M.G.M. Hunink</cp:lastModifiedBy>
  <cp:revision>9</cp:revision>
  <dcterms:created xsi:type="dcterms:W3CDTF">2018-11-12T09:35:00Z</dcterms:created>
  <dcterms:modified xsi:type="dcterms:W3CDTF">2019-04-03T11:35:00Z</dcterms:modified>
</cp:coreProperties>
</file>